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664EE" w14:textId="77777777" w:rsidR="00585E8D" w:rsidRDefault="00585E8D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6750"/>
      </w:tblGrid>
      <w:tr w:rsidR="00585E8D" w14:paraId="408FE8CF" w14:textId="758B01AA">
        <w:trPr>
          <w:trHeight w:hRule="exact" w:val="278"/>
        </w:trPr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AEC88" w14:textId="119076B5" w:rsidR="00585E8D" w:rsidRDefault="003738CC">
            <w:pPr>
              <w:pStyle w:val="TableParagraph"/>
              <w:spacing w:before="7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  <w:w w:val="105"/>
              </w:rPr>
              <w:t>POLICY</w:t>
            </w:r>
            <w:r>
              <w:rPr>
                <w:rFonts w:ascii="Times New Roman"/>
                <w:spacing w:val="-31"/>
                <w:w w:val="105"/>
              </w:rPr>
              <w:t xml:space="preserve"> </w:t>
            </w:r>
            <w:r>
              <w:rPr>
                <w:rFonts w:ascii="Times New Roman"/>
                <w:spacing w:val="-1"/>
                <w:w w:val="105"/>
              </w:rPr>
              <w:t>NAME: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0F0BB" w14:textId="79466016" w:rsidR="00585E8D" w:rsidRPr="00071149" w:rsidRDefault="003738CC">
            <w:pPr>
              <w:pStyle w:val="TableParagraph"/>
              <w:spacing w:before="2" w:line="26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149">
              <w:rPr>
                <w:rFonts w:ascii="Times New Roman" w:hAnsi="Times New Roman" w:cs="Times New Roman"/>
                <w:b/>
                <w:sz w:val="24"/>
                <w:szCs w:val="24"/>
              </w:rPr>
              <w:t>302.01:</w:t>
            </w:r>
            <w:r w:rsidRPr="00071149">
              <w:rPr>
                <w:rFonts w:ascii="Times New Roman" w:hAnsi="Times New Roman" w:cs="Times New Roman"/>
                <w:b/>
                <w:spacing w:val="43"/>
                <w:sz w:val="24"/>
                <w:szCs w:val="24"/>
              </w:rPr>
              <w:t xml:space="preserve"> </w:t>
            </w:r>
            <w:r w:rsidR="000C0D38" w:rsidRPr="000711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0D38" w:rsidRPr="00071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Insurance</w:t>
            </w:r>
            <w:r w:rsidR="00DD20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Fidelity Bonds</w:t>
            </w:r>
          </w:p>
        </w:tc>
      </w:tr>
      <w:tr w:rsidR="00585E8D" w14:paraId="3A7F511B" w14:textId="772A1386">
        <w:trPr>
          <w:trHeight w:hRule="exact" w:val="279"/>
        </w:trPr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333D9" w14:textId="52D7FD05" w:rsidR="00585E8D" w:rsidRDefault="003738CC">
            <w:pPr>
              <w:pStyle w:val="TableParagraph"/>
              <w:spacing w:before="7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  <w:w w:val="105"/>
              </w:rPr>
              <w:t>EFFECTIVE: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90632" w14:textId="090ACDB1" w:rsidR="00585E8D" w:rsidRPr="00071149" w:rsidRDefault="008875D8">
            <w:pPr>
              <w:pStyle w:val="TableParagraph"/>
              <w:spacing w:before="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March 10, 2021</w:t>
            </w:r>
          </w:p>
        </w:tc>
      </w:tr>
      <w:tr w:rsidR="00585E8D" w14:paraId="01B97279" w14:textId="0D963E4C">
        <w:trPr>
          <w:trHeight w:hRule="exact" w:val="278"/>
        </w:trPr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74157" w14:textId="2BBF4456" w:rsidR="00585E8D" w:rsidRDefault="003738CC">
            <w:pPr>
              <w:pStyle w:val="TableParagraph"/>
              <w:spacing w:line="26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SUPERSEDES: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279DA" w14:textId="1BE11D96" w:rsidR="00585E8D" w:rsidRPr="00071149" w:rsidRDefault="00071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CB00D0" w:rsidRPr="00B068C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302.01</w:t>
              </w:r>
            </w:hyperlink>
            <w:r w:rsidR="00CB00D0" w:rsidRPr="00071149">
              <w:rPr>
                <w:rFonts w:ascii="Times New Roman" w:hAnsi="Times New Roman" w:cs="Times New Roman"/>
                <w:sz w:val="24"/>
                <w:szCs w:val="24"/>
              </w:rPr>
              <w:t xml:space="preserve"> issued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April 13, 2016</w:t>
            </w:r>
          </w:p>
        </w:tc>
      </w:tr>
      <w:tr w:rsidR="00585E8D" w14:paraId="7A73184C" w14:textId="34E6D8AE">
        <w:trPr>
          <w:trHeight w:hRule="exact" w:val="278"/>
        </w:trPr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92A01" w14:textId="624CE041" w:rsidR="00585E8D" w:rsidRDefault="003738CC">
            <w:pPr>
              <w:pStyle w:val="TableParagraph"/>
              <w:spacing w:line="26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SOURCE: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D3BFC" w14:textId="1005B94A" w:rsidR="00585E8D" w:rsidRDefault="002E6A9C">
            <w:pPr>
              <w:pStyle w:val="TableParagraph"/>
              <w:spacing w:line="26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8" w:history="1">
              <w:r w:rsidR="003738CC" w:rsidRPr="00B81D43">
                <w:rPr>
                  <w:rStyle w:val="Hyperlink"/>
                  <w:rFonts w:ascii="Times New Roman"/>
                  <w:i/>
                  <w:spacing w:val="-1"/>
                  <w:sz w:val="23"/>
                </w:rPr>
                <w:t>Code</w:t>
              </w:r>
              <w:r w:rsidR="003738CC" w:rsidRPr="00B81D43">
                <w:rPr>
                  <w:rStyle w:val="Hyperlink"/>
                  <w:rFonts w:ascii="Times New Roman"/>
                  <w:i/>
                  <w:spacing w:val="-11"/>
                  <w:sz w:val="23"/>
                </w:rPr>
                <w:t xml:space="preserve"> </w:t>
              </w:r>
              <w:r w:rsidR="003738CC" w:rsidRPr="00B81D43">
                <w:rPr>
                  <w:rStyle w:val="Hyperlink"/>
                  <w:rFonts w:ascii="Times New Roman"/>
                  <w:i/>
                  <w:sz w:val="23"/>
                </w:rPr>
                <w:t>of</w:t>
              </w:r>
              <w:r w:rsidR="003738CC" w:rsidRPr="00B81D43">
                <w:rPr>
                  <w:rStyle w:val="Hyperlink"/>
                  <w:rFonts w:ascii="Times New Roman"/>
                  <w:i/>
                  <w:spacing w:val="-11"/>
                  <w:sz w:val="23"/>
                </w:rPr>
                <w:t xml:space="preserve"> </w:t>
              </w:r>
              <w:r w:rsidR="003738CC" w:rsidRPr="00B81D43">
                <w:rPr>
                  <w:rStyle w:val="Hyperlink"/>
                  <w:rFonts w:ascii="Times New Roman"/>
                  <w:i/>
                  <w:sz w:val="23"/>
                </w:rPr>
                <w:t>Alabama</w:t>
              </w:r>
              <w:r w:rsidR="003738CC" w:rsidRPr="00B81D43">
                <w:rPr>
                  <w:rStyle w:val="Hyperlink"/>
                  <w:rFonts w:ascii="Times New Roman"/>
                  <w:i/>
                  <w:spacing w:val="-7"/>
                  <w:sz w:val="23"/>
                </w:rPr>
                <w:t xml:space="preserve"> </w:t>
              </w:r>
              <w:r w:rsidR="000C0D38" w:rsidRPr="00B81D43">
                <w:rPr>
                  <w:rStyle w:val="Hyperlink"/>
                  <w:rFonts w:ascii="Times New Roman" w:hAnsi="Times New Roman" w:cs="Times New Roman"/>
                  <w:i/>
                  <w:iCs/>
                </w:rPr>
                <w:t>41-15-1</w:t>
              </w:r>
            </w:hyperlink>
            <w:r w:rsidR="000C0D38" w:rsidRPr="00071149">
              <w:rPr>
                <w:rFonts w:ascii="Times New Roman" w:hAnsi="Times New Roman" w:cs="Times New Roman"/>
                <w:i/>
                <w:iCs/>
              </w:rPr>
              <w:t xml:space="preserve"> through </w:t>
            </w:r>
            <w:hyperlink r:id="rId9" w:history="1">
              <w:r w:rsidR="000C0D38" w:rsidRPr="00B81D43">
                <w:rPr>
                  <w:rStyle w:val="Hyperlink"/>
                  <w:rFonts w:ascii="Times New Roman" w:hAnsi="Times New Roman" w:cs="Times New Roman"/>
                  <w:i/>
                  <w:iCs/>
                </w:rPr>
                <w:t>41-15-13</w:t>
              </w:r>
            </w:hyperlink>
            <w:r w:rsidR="000C0D38" w:rsidRPr="00071149">
              <w:rPr>
                <w:rFonts w:ascii="Times New Roman" w:hAnsi="Times New Roman" w:cs="Times New Roman"/>
                <w:i/>
                <w:iCs/>
              </w:rPr>
              <w:t>;</w:t>
            </w:r>
            <w:hyperlink r:id="rId10" w:history="1">
              <w:r w:rsidR="003738CC" w:rsidRPr="00B81D43">
                <w:rPr>
                  <w:rStyle w:val="Hyperlink"/>
                  <w:rFonts w:ascii="Times New Roman" w:hAnsi="Times New Roman" w:cs="Times New Roman"/>
                  <w:i/>
                  <w:iCs/>
                  <w:sz w:val="23"/>
                </w:rPr>
                <w:t>16-60-111.2</w:t>
              </w:r>
            </w:hyperlink>
            <w:r w:rsidR="003738CC" w:rsidRPr="00071149">
              <w:rPr>
                <w:rFonts w:ascii="Times New Roman" w:hAnsi="Times New Roman" w:cs="Times New Roman"/>
                <w:i/>
                <w:iCs/>
                <w:sz w:val="23"/>
              </w:rPr>
              <w:t>;</w:t>
            </w:r>
            <w:r w:rsidR="003738CC" w:rsidRPr="00071149">
              <w:rPr>
                <w:rFonts w:ascii="Times New Roman" w:hAnsi="Times New Roman" w:cs="Times New Roman"/>
                <w:i/>
                <w:iCs/>
                <w:spacing w:val="-11"/>
                <w:sz w:val="23"/>
              </w:rPr>
              <w:t xml:space="preserve"> </w:t>
            </w:r>
            <w:hyperlink r:id="rId11" w:history="1">
              <w:r w:rsidR="003738CC" w:rsidRPr="00B81D43">
                <w:rPr>
                  <w:rStyle w:val="Hyperlink"/>
                  <w:rFonts w:ascii="Times New Roman" w:hAnsi="Times New Roman" w:cs="Times New Roman"/>
                  <w:i/>
                  <w:iCs/>
                  <w:sz w:val="23"/>
                </w:rPr>
                <w:t>16-60-111.4</w:t>
              </w:r>
            </w:hyperlink>
          </w:p>
        </w:tc>
      </w:tr>
      <w:tr w:rsidR="00585E8D" w14:paraId="021B81A6" w14:textId="6E3E2FA6">
        <w:trPr>
          <w:trHeight w:hRule="exact" w:val="278"/>
        </w:trPr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80F13" w14:textId="0C0483E1" w:rsidR="00585E8D" w:rsidRDefault="00071149">
            <w:pPr>
              <w:pStyle w:val="TableParagraph"/>
              <w:spacing w:before="7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CROSS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7"/>
              </w:rPr>
              <w:t>REFERENCE</w:t>
            </w:r>
            <w:r w:rsidR="003738CC">
              <w:rPr>
                <w:rFonts w:ascii="Times New Roman"/>
                <w:spacing w:val="-1"/>
              </w:rPr>
              <w:t>: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7224C" w14:textId="62D3B11A" w:rsidR="00585E8D" w:rsidRDefault="00585E8D"/>
        </w:tc>
      </w:tr>
    </w:tbl>
    <w:p w14:paraId="74496E15" w14:textId="62B6E126" w:rsidR="00585E8D" w:rsidRDefault="00585E8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10FEFD" w14:textId="1CE853BC" w:rsidR="00585E8D" w:rsidRDefault="00585E8D">
      <w:pPr>
        <w:spacing w:before="9"/>
        <w:rPr>
          <w:rFonts w:ascii="Times New Roman" w:eastAsia="Times New Roman" w:hAnsi="Times New Roman" w:cs="Times New Roman"/>
        </w:rPr>
      </w:pPr>
    </w:p>
    <w:p w14:paraId="4C17442D" w14:textId="0C5952A2" w:rsidR="000C0D38" w:rsidRDefault="00CA1804" w:rsidP="003F22CA">
      <w:pPr>
        <w:pStyle w:val="BodyText"/>
        <w:spacing w:line="246" w:lineRule="auto"/>
        <w:ind w:right="210"/>
        <w:jc w:val="both"/>
      </w:pPr>
      <w:r w:rsidRPr="00CA1804">
        <w:t xml:space="preserve">All Alabama Community College System institutions </w:t>
      </w:r>
      <w:r>
        <w:t>must</w:t>
      </w:r>
      <w:r w:rsidR="000C0D38">
        <w:t xml:space="preserve"> </w:t>
      </w:r>
      <w:r w:rsidR="000C0D38" w:rsidRPr="00161C8B">
        <w:t xml:space="preserve">maintain adequate </w:t>
      </w:r>
      <w:r w:rsidR="000C0D38">
        <w:t>insurance coverage</w:t>
      </w:r>
      <w:r w:rsidR="000C0D38" w:rsidRPr="00161C8B">
        <w:t xml:space="preserve"> as defined by the Chancellor and </w:t>
      </w:r>
      <w:r w:rsidR="000C0D38">
        <w:t xml:space="preserve">approved by </w:t>
      </w:r>
      <w:r w:rsidR="000C0D38" w:rsidRPr="00161C8B">
        <w:t>the Board of Trustees</w:t>
      </w:r>
      <w:r w:rsidR="000C0D38">
        <w:t xml:space="preserve"> to ensure the protection of the institution and its resources. </w:t>
      </w:r>
    </w:p>
    <w:p w14:paraId="6A98F5D4" w14:textId="42D1C128" w:rsidR="003738CC" w:rsidRDefault="003738CC">
      <w:pPr>
        <w:pStyle w:val="BodyText"/>
        <w:spacing w:line="246" w:lineRule="auto"/>
        <w:ind w:right="210"/>
        <w:rPr>
          <w:spacing w:val="-1"/>
        </w:rPr>
      </w:pPr>
    </w:p>
    <w:p w14:paraId="04CD5ADB" w14:textId="61731E25" w:rsidR="003738CC" w:rsidRDefault="003738CC" w:rsidP="000C0D38">
      <w:pPr>
        <w:pStyle w:val="BodyText"/>
        <w:spacing w:line="246" w:lineRule="auto"/>
        <w:ind w:right="210"/>
      </w:pPr>
    </w:p>
    <w:sectPr w:rsidR="003738C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38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93C84" w14:textId="77777777" w:rsidR="002E6A9C" w:rsidRDefault="002E6A9C" w:rsidP="008876F4">
      <w:r>
        <w:separator/>
      </w:r>
    </w:p>
  </w:endnote>
  <w:endnote w:type="continuationSeparator" w:id="0">
    <w:p w14:paraId="660DFDBB" w14:textId="77777777" w:rsidR="002E6A9C" w:rsidRDefault="002E6A9C" w:rsidP="0088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15CF8" w14:textId="77777777" w:rsidR="008876F4" w:rsidRDefault="008876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D2D7A" w14:textId="77777777" w:rsidR="008876F4" w:rsidRDefault="008876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54D8A" w14:textId="77777777" w:rsidR="008876F4" w:rsidRDefault="00887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65D51" w14:textId="77777777" w:rsidR="002E6A9C" w:rsidRDefault="002E6A9C" w:rsidP="008876F4">
      <w:r>
        <w:separator/>
      </w:r>
    </w:p>
  </w:footnote>
  <w:footnote w:type="continuationSeparator" w:id="0">
    <w:p w14:paraId="43C1C3C6" w14:textId="77777777" w:rsidR="002E6A9C" w:rsidRDefault="002E6A9C" w:rsidP="00887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FA9E1" w14:textId="77777777" w:rsidR="008876F4" w:rsidRDefault="008876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76492" w14:textId="074D123F" w:rsidR="008876F4" w:rsidRDefault="008876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28FD6" w14:textId="77777777" w:rsidR="008876F4" w:rsidRDefault="008876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E8D"/>
    <w:rsid w:val="00071149"/>
    <w:rsid w:val="000C0D38"/>
    <w:rsid w:val="002223C3"/>
    <w:rsid w:val="002E6A9C"/>
    <w:rsid w:val="00341722"/>
    <w:rsid w:val="003738CC"/>
    <w:rsid w:val="003F22CA"/>
    <w:rsid w:val="0056640F"/>
    <w:rsid w:val="00585E8D"/>
    <w:rsid w:val="00591D08"/>
    <w:rsid w:val="005D75C5"/>
    <w:rsid w:val="0060542A"/>
    <w:rsid w:val="00694962"/>
    <w:rsid w:val="008875D8"/>
    <w:rsid w:val="008876F4"/>
    <w:rsid w:val="00A1667F"/>
    <w:rsid w:val="00B068CD"/>
    <w:rsid w:val="00B81D43"/>
    <w:rsid w:val="00CA1804"/>
    <w:rsid w:val="00CB00D0"/>
    <w:rsid w:val="00CF3319"/>
    <w:rsid w:val="00DD2089"/>
    <w:rsid w:val="00F4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2F706"/>
  <w15:docId w15:val="{6B9C244C-8F56-436D-A4DF-D5F34BAC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C0D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D3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1D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D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76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6F4"/>
  </w:style>
  <w:style w:type="paragraph" w:styleId="Footer">
    <w:name w:val="footer"/>
    <w:basedOn w:val="Normal"/>
    <w:link w:val="FooterChar"/>
    <w:uiPriority w:val="99"/>
    <w:unhideWhenUsed/>
    <w:rsid w:val="008876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es.findlaw.com/al/title-41-state-government/al-code-sect-41-15-1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ccs.edu/wp-content/uploads/2019/02/302.01-Fidelity-Bond-Schedule-Policy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odes.findlaw.com/al/title-16-education/al-code-sect-16-60-111-4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codes.findlaw.com/al/title-16-education/al-code-sect-16-60-111-2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odes.findlaw.com/al/title-41-state-government/al-code-sect-41-15-13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60DE8-B57A-419A-A716-C1CCB0AAD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302.01 Fidelity Bond Schedule</dc:title>
  <dc:creator>Alabama College System</dc:creator>
  <cp:lastModifiedBy>Sarah Owes</cp:lastModifiedBy>
  <cp:revision>11</cp:revision>
  <cp:lastPrinted>2021-02-23T16:37:00Z</cp:lastPrinted>
  <dcterms:created xsi:type="dcterms:W3CDTF">2021-02-01T14:52:00Z</dcterms:created>
  <dcterms:modified xsi:type="dcterms:W3CDTF">2021-02-23T16:37:00Z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LastSaved">
    <vt:filetime>2020-12-02T00:00:00Z</vt:filetime>
  </property>
</Properties>
</file>