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E6B36" w14:textId="77777777" w:rsidR="005B7DE2" w:rsidRDefault="005B7DE2">
      <w:pPr>
        <w:spacing w:before="12" w:line="20" w:lineRule="exact"/>
      </w:pPr>
    </w:p>
    <w:tbl>
      <w:tblPr>
        <w:tblW w:w="0" w:type="auto"/>
        <w:tblInd w:w="19" w:type="dxa"/>
        <w:tblLayout w:type="fixed"/>
        <w:tblCellMar>
          <w:left w:w="0" w:type="dxa"/>
          <w:right w:w="0" w:type="dxa"/>
        </w:tblCellMar>
        <w:tblLook w:val="0000" w:firstRow="0" w:lastRow="0" w:firstColumn="0" w:lastColumn="0" w:noHBand="0" w:noVBand="0"/>
      </w:tblPr>
      <w:tblGrid>
        <w:gridCol w:w="2525"/>
        <w:gridCol w:w="6912"/>
      </w:tblGrid>
      <w:tr w:rsidR="005B7DE2" w14:paraId="0B0EAA06" w14:textId="77777777" w:rsidTr="00EC17BA">
        <w:trPr>
          <w:trHeight w:hRule="exact" w:val="439"/>
        </w:trPr>
        <w:tc>
          <w:tcPr>
            <w:tcW w:w="2525" w:type="dxa"/>
            <w:tcBorders>
              <w:top w:val="single" w:sz="7" w:space="0" w:color="000000"/>
              <w:left w:val="single" w:sz="7" w:space="0" w:color="000000"/>
              <w:bottom w:val="single" w:sz="7" w:space="0" w:color="000000"/>
              <w:right w:val="single" w:sz="7" w:space="0" w:color="000000"/>
            </w:tcBorders>
            <w:vAlign w:val="center"/>
          </w:tcPr>
          <w:p w14:paraId="2633D301" w14:textId="77777777" w:rsidR="005B7DE2" w:rsidRPr="00352EF8" w:rsidRDefault="00AF043B">
            <w:pPr>
              <w:spacing w:line="263" w:lineRule="exact"/>
              <w:ind w:left="115"/>
              <w:textAlignment w:val="baseline"/>
              <w:rPr>
                <w:rFonts w:eastAsia="Times New Roman"/>
                <w:color w:val="000000"/>
                <w:sz w:val="24"/>
              </w:rPr>
            </w:pPr>
            <w:r w:rsidRPr="00352EF8">
              <w:rPr>
                <w:rFonts w:eastAsia="Times New Roman"/>
                <w:color w:val="000000"/>
                <w:sz w:val="24"/>
              </w:rPr>
              <w:t>POLICY NAME:</w:t>
            </w:r>
          </w:p>
        </w:tc>
        <w:tc>
          <w:tcPr>
            <w:tcW w:w="6912" w:type="dxa"/>
            <w:tcBorders>
              <w:top w:val="single" w:sz="7" w:space="0" w:color="000000"/>
              <w:left w:val="single" w:sz="7" w:space="0" w:color="000000"/>
              <w:bottom w:val="single" w:sz="7" w:space="0" w:color="000000"/>
              <w:right w:val="single" w:sz="7" w:space="0" w:color="000000"/>
            </w:tcBorders>
            <w:vAlign w:val="center"/>
          </w:tcPr>
          <w:p w14:paraId="2D32A5C8" w14:textId="77777777" w:rsidR="005B7DE2" w:rsidRPr="00352EF8" w:rsidRDefault="00AF043B">
            <w:pPr>
              <w:spacing w:before="36" w:line="242" w:lineRule="exact"/>
              <w:ind w:left="105"/>
              <w:textAlignment w:val="baseline"/>
              <w:rPr>
                <w:rFonts w:eastAsia="Times New Roman"/>
                <w:b/>
                <w:color w:val="000000"/>
                <w:sz w:val="24"/>
              </w:rPr>
            </w:pPr>
            <w:r w:rsidRPr="00352EF8">
              <w:rPr>
                <w:rFonts w:eastAsia="Times New Roman"/>
                <w:b/>
                <w:color w:val="000000"/>
                <w:sz w:val="24"/>
              </w:rPr>
              <w:t>602.01: Appointment and Assignment of Personnel</w:t>
            </w:r>
          </w:p>
        </w:tc>
      </w:tr>
      <w:tr w:rsidR="00352EF8" w14:paraId="736362A6" w14:textId="77777777" w:rsidTr="00EC17BA">
        <w:trPr>
          <w:trHeight w:hRule="exact" w:val="421"/>
        </w:trPr>
        <w:tc>
          <w:tcPr>
            <w:tcW w:w="2525" w:type="dxa"/>
            <w:tcBorders>
              <w:top w:val="single" w:sz="7" w:space="0" w:color="000000"/>
              <w:left w:val="single" w:sz="7" w:space="0" w:color="000000"/>
              <w:bottom w:val="single" w:sz="7" w:space="0" w:color="000000"/>
              <w:right w:val="single" w:sz="7" w:space="0" w:color="000000"/>
            </w:tcBorders>
            <w:vAlign w:val="center"/>
          </w:tcPr>
          <w:p w14:paraId="35739EDB" w14:textId="7D5747C3" w:rsidR="00352EF8" w:rsidRPr="00352EF8" w:rsidRDefault="00352EF8">
            <w:pPr>
              <w:spacing w:line="268" w:lineRule="exact"/>
              <w:ind w:left="115"/>
              <w:textAlignment w:val="baseline"/>
              <w:rPr>
                <w:rFonts w:eastAsia="Times New Roman"/>
                <w:color w:val="000000"/>
                <w:sz w:val="24"/>
              </w:rPr>
            </w:pPr>
            <w:r w:rsidRPr="00352EF8">
              <w:rPr>
                <w:rFonts w:eastAsia="Times New Roman"/>
                <w:color w:val="000000"/>
                <w:sz w:val="24"/>
              </w:rPr>
              <w:t>EFFECTIVE:</w:t>
            </w:r>
          </w:p>
        </w:tc>
        <w:tc>
          <w:tcPr>
            <w:tcW w:w="6912" w:type="dxa"/>
            <w:tcBorders>
              <w:top w:val="single" w:sz="7" w:space="0" w:color="000000"/>
              <w:left w:val="single" w:sz="7" w:space="0" w:color="000000"/>
              <w:bottom w:val="single" w:sz="7" w:space="0" w:color="000000"/>
              <w:right w:val="single" w:sz="7" w:space="0" w:color="000000"/>
            </w:tcBorders>
            <w:vAlign w:val="center"/>
          </w:tcPr>
          <w:p w14:paraId="2FA1F5E7" w14:textId="5D9424E0" w:rsidR="00352EF8" w:rsidRPr="00352EF8" w:rsidRDefault="00622918">
            <w:pPr>
              <w:spacing w:line="265" w:lineRule="exact"/>
              <w:ind w:left="105"/>
              <w:textAlignment w:val="baseline"/>
              <w:rPr>
                <w:rFonts w:eastAsia="Times New Roman"/>
                <w:color w:val="000000"/>
                <w:sz w:val="24"/>
              </w:rPr>
            </w:pPr>
            <w:r>
              <w:rPr>
                <w:rFonts w:eastAsia="Times New Roman"/>
                <w:color w:val="000000"/>
                <w:sz w:val="24"/>
              </w:rPr>
              <w:t>January 13, 2021</w:t>
            </w:r>
          </w:p>
        </w:tc>
      </w:tr>
      <w:tr w:rsidR="005B7DE2" w14:paraId="0C871B23" w14:textId="77777777" w:rsidTr="00EC17BA">
        <w:trPr>
          <w:trHeight w:hRule="exact" w:val="421"/>
        </w:trPr>
        <w:tc>
          <w:tcPr>
            <w:tcW w:w="2525" w:type="dxa"/>
            <w:tcBorders>
              <w:top w:val="single" w:sz="7" w:space="0" w:color="000000"/>
              <w:left w:val="single" w:sz="7" w:space="0" w:color="000000"/>
              <w:bottom w:val="single" w:sz="7" w:space="0" w:color="000000"/>
              <w:right w:val="single" w:sz="7" w:space="0" w:color="000000"/>
            </w:tcBorders>
            <w:vAlign w:val="center"/>
          </w:tcPr>
          <w:p w14:paraId="61CBF8EC" w14:textId="77777777" w:rsidR="005B7DE2" w:rsidRPr="00352EF8" w:rsidRDefault="00AF043B">
            <w:pPr>
              <w:spacing w:line="268" w:lineRule="exact"/>
              <w:ind w:left="115"/>
              <w:textAlignment w:val="baseline"/>
              <w:rPr>
                <w:rFonts w:eastAsia="Times New Roman"/>
                <w:color w:val="000000"/>
                <w:sz w:val="24"/>
              </w:rPr>
            </w:pPr>
            <w:r w:rsidRPr="00352EF8">
              <w:rPr>
                <w:rFonts w:eastAsia="Times New Roman"/>
                <w:color w:val="000000"/>
                <w:sz w:val="24"/>
              </w:rPr>
              <w:t>SUPERSEDES:</w:t>
            </w:r>
          </w:p>
        </w:tc>
        <w:tc>
          <w:tcPr>
            <w:tcW w:w="6912" w:type="dxa"/>
            <w:tcBorders>
              <w:top w:val="single" w:sz="7" w:space="0" w:color="000000"/>
              <w:left w:val="single" w:sz="7" w:space="0" w:color="000000"/>
              <w:bottom w:val="single" w:sz="7" w:space="0" w:color="000000"/>
              <w:right w:val="single" w:sz="7" w:space="0" w:color="000000"/>
            </w:tcBorders>
            <w:vAlign w:val="center"/>
          </w:tcPr>
          <w:p w14:paraId="69195963" w14:textId="6D7A6A61" w:rsidR="005B7DE2" w:rsidRPr="00352EF8" w:rsidRDefault="005B7DE2">
            <w:pPr>
              <w:spacing w:line="265" w:lineRule="exact"/>
              <w:ind w:left="105"/>
              <w:textAlignment w:val="baseline"/>
              <w:rPr>
                <w:rFonts w:eastAsia="Times New Roman"/>
                <w:color w:val="000000"/>
                <w:sz w:val="24"/>
              </w:rPr>
            </w:pPr>
          </w:p>
        </w:tc>
      </w:tr>
      <w:tr w:rsidR="005B7DE2" w14:paraId="0530A00D" w14:textId="77777777" w:rsidTr="00EC17BA">
        <w:trPr>
          <w:trHeight w:hRule="exact" w:val="448"/>
        </w:trPr>
        <w:tc>
          <w:tcPr>
            <w:tcW w:w="2525" w:type="dxa"/>
            <w:tcBorders>
              <w:top w:val="single" w:sz="7" w:space="0" w:color="000000"/>
              <w:left w:val="single" w:sz="7" w:space="0" w:color="000000"/>
              <w:bottom w:val="single" w:sz="7" w:space="0" w:color="000000"/>
              <w:right w:val="single" w:sz="7" w:space="0" w:color="000000"/>
            </w:tcBorders>
          </w:tcPr>
          <w:p w14:paraId="65F99EC8" w14:textId="77777777" w:rsidR="005B7DE2" w:rsidRPr="00352EF8" w:rsidRDefault="00AF043B">
            <w:pPr>
              <w:spacing w:after="265" w:line="270" w:lineRule="exact"/>
              <w:ind w:left="115"/>
              <w:textAlignment w:val="baseline"/>
              <w:rPr>
                <w:rFonts w:eastAsia="Times New Roman"/>
                <w:color w:val="000000"/>
                <w:sz w:val="24"/>
              </w:rPr>
            </w:pPr>
            <w:r w:rsidRPr="00352EF8">
              <w:rPr>
                <w:rFonts w:eastAsia="Times New Roman"/>
                <w:color w:val="000000"/>
                <w:sz w:val="24"/>
              </w:rPr>
              <w:t>SOURCE:</w:t>
            </w:r>
          </w:p>
          <w:p w14:paraId="11C7EE73" w14:textId="77777777" w:rsidR="00EC17BA" w:rsidRPr="00352EF8" w:rsidRDefault="00EC17BA">
            <w:pPr>
              <w:spacing w:after="265" w:line="270" w:lineRule="exact"/>
              <w:ind w:left="115"/>
              <w:textAlignment w:val="baseline"/>
              <w:rPr>
                <w:rFonts w:eastAsia="Times New Roman"/>
                <w:color w:val="000000"/>
                <w:sz w:val="24"/>
              </w:rPr>
            </w:pPr>
          </w:p>
          <w:p w14:paraId="3628BDF8" w14:textId="3E136CBF" w:rsidR="00EC17BA" w:rsidRPr="00352EF8" w:rsidRDefault="00EC17BA">
            <w:pPr>
              <w:spacing w:after="265" w:line="270" w:lineRule="exact"/>
              <w:ind w:left="115"/>
              <w:textAlignment w:val="baseline"/>
              <w:rPr>
                <w:rFonts w:eastAsia="Times New Roman"/>
                <w:color w:val="000000"/>
                <w:sz w:val="24"/>
              </w:rPr>
            </w:pPr>
            <w:r w:rsidRPr="00352EF8">
              <w:rPr>
                <w:rFonts w:eastAsia="Times New Roman"/>
                <w:color w:val="000000"/>
                <w:sz w:val="24"/>
              </w:rPr>
              <w:t>\</w:t>
            </w:r>
          </w:p>
        </w:tc>
        <w:tc>
          <w:tcPr>
            <w:tcW w:w="6912" w:type="dxa"/>
            <w:tcBorders>
              <w:top w:val="single" w:sz="7" w:space="0" w:color="000000"/>
              <w:left w:val="single" w:sz="7" w:space="0" w:color="000000"/>
              <w:bottom w:val="single" w:sz="7" w:space="0" w:color="000000"/>
              <w:right w:val="single" w:sz="7" w:space="0" w:color="000000"/>
            </w:tcBorders>
          </w:tcPr>
          <w:p w14:paraId="540CAC08" w14:textId="08EEA162" w:rsidR="005B7DE2" w:rsidRPr="00352EF8" w:rsidRDefault="001F3E90">
            <w:pPr>
              <w:spacing w:line="267" w:lineRule="exact"/>
              <w:ind w:left="108" w:right="468"/>
              <w:textAlignment w:val="baseline"/>
              <w:rPr>
                <w:rFonts w:eastAsia="Times New Roman"/>
                <w:color w:val="000000"/>
                <w:sz w:val="24"/>
              </w:rPr>
            </w:pPr>
            <w:hyperlink r:id="rId7" w:history="1">
              <w:r w:rsidR="00AF043B" w:rsidRPr="00296E5D">
                <w:rPr>
                  <w:rStyle w:val="Hyperlink"/>
                  <w:rFonts w:eastAsia="Times New Roman"/>
                  <w:i/>
                  <w:sz w:val="24"/>
                </w:rPr>
                <w:t>Code of Alabama 16-60-111.4</w:t>
              </w:r>
            </w:hyperlink>
            <w:r w:rsidR="00AF043B" w:rsidRPr="00352EF8">
              <w:rPr>
                <w:rFonts w:eastAsia="Times New Roman"/>
                <w:i/>
                <w:color w:val="000000"/>
                <w:sz w:val="24"/>
              </w:rPr>
              <w:t xml:space="preserve"> and </w:t>
            </w:r>
            <w:hyperlink r:id="rId8" w:history="1">
              <w:r w:rsidR="00AF043B" w:rsidRPr="00296E5D">
                <w:rPr>
                  <w:rStyle w:val="Hyperlink"/>
                  <w:rFonts w:eastAsia="Times New Roman"/>
                  <w:i/>
                  <w:sz w:val="24"/>
                </w:rPr>
                <w:t>16-60-111.7</w:t>
              </w:r>
            </w:hyperlink>
          </w:p>
        </w:tc>
      </w:tr>
      <w:tr w:rsidR="005B7DE2" w14:paraId="06178E65" w14:textId="77777777" w:rsidTr="00296E5D">
        <w:trPr>
          <w:trHeight w:hRule="exact" w:val="781"/>
        </w:trPr>
        <w:tc>
          <w:tcPr>
            <w:tcW w:w="2525" w:type="dxa"/>
            <w:tcBorders>
              <w:top w:val="single" w:sz="7" w:space="0" w:color="000000"/>
              <w:left w:val="single" w:sz="7" w:space="0" w:color="000000"/>
              <w:bottom w:val="single" w:sz="7" w:space="0" w:color="000000"/>
              <w:right w:val="single" w:sz="7" w:space="0" w:color="000000"/>
            </w:tcBorders>
            <w:vAlign w:val="center"/>
          </w:tcPr>
          <w:p w14:paraId="3578D0D7" w14:textId="77777777" w:rsidR="005B7DE2" w:rsidRPr="00352EF8" w:rsidRDefault="00AF043B">
            <w:pPr>
              <w:spacing w:after="5" w:line="270" w:lineRule="exact"/>
              <w:ind w:left="115"/>
              <w:textAlignment w:val="baseline"/>
              <w:rPr>
                <w:rFonts w:eastAsia="Times New Roman"/>
                <w:color w:val="000000"/>
                <w:sz w:val="24"/>
              </w:rPr>
            </w:pPr>
            <w:r w:rsidRPr="00352EF8">
              <w:rPr>
                <w:rFonts w:eastAsia="Times New Roman"/>
                <w:color w:val="000000"/>
                <w:sz w:val="24"/>
              </w:rPr>
              <w:t>CROSS REFERENCE:</w:t>
            </w:r>
          </w:p>
        </w:tc>
        <w:tc>
          <w:tcPr>
            <w:tcW w:w="6912" w:type="dxa"/>
            <w:tcBorders>
              <w:top w:val="single" w:sz="7" w:space="0" w:color="000000"/>
              <w:left w:val="single" w:sz="7" w:space="0" w:color="000000"/>
              <w:bottom w:val="single" w:sz="7" w:space="0" w:color="000000"/>
              <w:right w:val="single" w:sz="7" w:space="0" w:color="000000"/>
            </w:tcBorders>
            <w:vAlign w:val="center"/>
          </w:tcPr>
          <w:p w14:paraId="76F091D5" w14:textId="7369A49C" w:rsidR="005B7DE2" w:rsidRPr="00352EF8" w:rsidRDefault="00296E5D" w:rsidP="00296E5D">
            <w:pPr>
              <w:spacing w:line="265" w:lineRule="exact"/>
              <w:textAlignment w:val="baseline"/>
              <w:rPr>
                <w:rFonts w:eastAsia="Times New Roman"/>
                <w:color w:val="000000"/>
                <w:sz w:val="24"/>
              </w:rPr>
            </w:pPr>
            <w:r>
              <w:rPr>
                <w:rFonts w:eastAsia="Times New Roman"/>
                <w:color w:val="000000"/>
                <w:sz w:val="24"/>
              </w:rPr>
              <w:t xml:space="preserve"> </w:t>
            </w:r>
            <w:r w:rsidR="007C455B">
              <w:rPr>
                <w:rFonts w:eastAsia="Times New Roman"/>
                <w:color w:val="000000"/>
                <w:sz w:val="24"/>
              </w:rPr>
              <w:t>Polic</w:t>
            </w:r>
            <w:r w:rsidR="00BD646D">
              <w:rPr>
                <w:rFonts w:eastAsia="Times New Roman"/>
                <w:color w:val="000000"/>
                <w:sz w:val="24"/>
              </w:rPr>
              <w:t xml:space="preserve">ies </w:t>
            </w:r>
            <w:hyperlink r:id="rId9" w:history="1">
              <w:r w:rsidR="007C455B" w:rsidRPr="00296E5D">
                <w:rPr>
                  <w:rStyle w:val="Hyperlink"/>
                  <w:rFonts w:eastAsia="Times New Roman"/>
                  <w:sz w:val="24"/>
                </w:rPr>
                <w:t>203.02</w:t>
              </w:r>
              <w:r w:rsidRPr="00296E5D">
                <w:rPr>
                  <w:rStyle w:val="Hyperlink"/>
                  <w:rFonts w:eastAsia="Times New Roman"/>
                  <w:sz w:val="24"/>
                </w:rPr>
                <w:t>: President: Line of Authority</w:t>
              </w:r>
              <w:r w:rsidR="007C455B" w:rsidRPr="00296E5D">
                <w:rPr>
                  <w:rStyle w:val="Hyperlink"/>
                  <w:rFonts w:eastAsia="Times New Roman"/>
                  <w:sz w:val="24"/>
                </w:rPr>
                <w:t xml:space="preserve"> and 204.01</w:t>
              </w:r>
              <w:r w:rsidRPr="00296E5D">
                <w:rPr>
                  <w:rStyle w:val="Hyperlink"/>
                  <w:rFonts w:eastAsia="Times New Roman"/>
                  <w:sz w:val="24"/>
                </w:rPr>
                <w:t>:  Appointment of Local Administrative Staff</w:t>
              </w:r>
            </w:hyperlink>
          </w:p>
        </w:tc>
      </w:tr>
    </w:tbl>
    <w:p w14:paraId="50BE6F77" w14:textId="77777777" w:rsidR="005B7DE2" w:rsidRDefault="005B7DE2">
      <w:pPr>
        <w:spacing w:after="253" w:line="20" w:lineRule="exact"/>
      </w:pPr>
    </w:p>
    <w:p w14:paraId="72DE4E02" w14:textId="6FA91324" w:rsidR="008B14A2" w:rsidRDefault="00AF043B" w:rsidP="007676EE">
      <w:pPr>
        <w:numPr>
          <w:ilvl w:val="0"/>
          <w:numId w:val="2"/>
        </w:numPr>
        <w:tabs>
          <w:tab w:val="clear" w:pos="648"/>
          <w:tab w:val="left" w:pos="792"/>
        </w:tabs>
        <w:spacing w:before="271" w:line="270" w:lineRule="exact"/>
        <w:ind w:left="648" w:hanging="648"/>
        <w:jc w:val="both"/>
        <w:textAlignment w:val="baseline"/>
        <w:rPr>
          <w:rFonts w:eastAsia="Times New Roman"/>
          <w:color w:val="000000"/>
          <w:sz w:val="23"/>
        </w:rPr>
      </w:pPr>
      <w:r>
        <w:rPr>
          <w:rFonts w:eastAsia="Times New Roman"/>
          <w:color w:val="000000"/>
          <w:sz w:val="23"/>
        </w:rPr>
        <w:t xml:space="preserve">The President of each institution shall appoint the faculty and staff of the institution </w:t>
      </w:r>
      <w:r w:rsidR="00A17C42">
        <w:rPr>
          <w:rFonts w:eastAsia="Times New Roman"/>
          <w:color w:val="000000"/>
          <w:sz w:val="23"/>
        </w:rPr>
        <w:t xml:space="preserve">and shall make assignments of faculty and staff at the local level. Faculty and staff will be appointed </w:t>
      </w:r>
      <w:r>
        <w:rPr>
          <w:rFonts w:eastAsia="Times New Roman"/>
          <w:color w:val="000000"/>
          <w:sz w:val="23"/>
        </w:rPr>
        <w:t xml:space="preserve">according to </w:t>
      </w:r>
      <w:r w:rsidR="00A17C42">
        <w:rPr>
          <w:rFonts w:eastAsia="Times New Roman"/>
          <w:color w:val="000000"/>
          <w:sz w:val="23"/>
        </w:rPr>
        <w:t xml:space="preserve">the </w:t>
      </w:r>
      <w:r>
        <w:rPr>
          <w:rFonts w:eastAsia="Times New Roman"/>
          <w:color w:val="000000"/>
          <w:sz w:val="23"/>
        </w:rPr>
        <w:t>qualifications</w:t>
      </w:r>
      <w:r w:rsidR="00A17C42">
        <w:rPr>
          <w:rFonts w:eastAsia="Times New Roman"/>
          <w:color w:val="000000"/>
          <w:sz w:val="23"/>
        </w:rPr>
        <w:t xml:space="preserve"> and policies</w:t>
      </w:r>
      <w:r>
        <w:rPr>
          <w:rFonts w:eastAsia="Times New Roman"/>
          <w:color w:val="000000"/>
          <w:sz w:val="23"/>
        </w:rPr>
        <w:t xml:space="preserve"> approved by the </w:t>
      </w:r>
      <w:r w:rsidR="00A17C42">
        <w:rPr>
          <w:rFonts w:eastAsia="Times New Roman"/>
          <w:color w:val="000000"/>
          <w:sz w:val="23"/>
        </w:rPr>
        <w:t>Alabama Community College System Board of Trustees and the credentials, experience, and/or demonstrated competencies determined by the President.</w:t>
      </w:r>
      <w:r>
        <w:rPr>
          <w:rFonts w:eastAsia="Times New Roman"/>
          <w:color w:val="000000"/>
          <w:sz w:val="23"/>
        </w:rPr>
        <w:t xml:space="preserve"> </w:t>
      </w:r>
      <w:r w:rsidR="00A17C42">
        <w:rPr>
          <w:rFonts w:eastAsia="Times New Roman"/>
          <w:color w:val="000000"/>
          <w:sz w:val="23"/>
        </w:rPr>
        <w:t>Any appointment or assignment of personnel determined to be contrary to any statute, ACCS policy or procedure, or college policy may be reversed, and the Chancellor will be notified of any reversals of appointments or assignments resulting from this policy.</w:t>
      </w:r>
    </w:p>
    <w:p w14:paraId="6AF5B95C" w14:textId="26A1DA76" w:rsidR="00D40541" w:rsidRPr="005A6D3D" w:rsidRDefault="00AF043B" w:rsidP="007676EE">
      <w:pPr>
        <w:numPr>
          <w:ilvl w:val="0"/>
          <w:numId w:val="2"/>
        </w:numPr>
        <w:tabs>
          <w:tab w:val="clear" w:pos="648"/>
          <w:tab w:val="left" w:pos="792"/>
        </w:tabs>
        <w:spacing w:before="271" w:line="270" w:lineRule="exact"/>
        <w:ind w:left="648" w:hanging="648"/>
        <w:jc w:val="both"/>
        <w:textAlignment w:val="baseline"/>
        <w:rPr>
          <w:rFonts w:eastAsia="Times New Roman"/>
          <w:color w:val="000000"/>
          <w:sz w:val="23"/>
        </w:rPr>
      </w:pPr>
      <w:r w:rsidRPr="005A6D3D">
        <w:rPr>
          <w:rFonts w:eastAsia="Times New Roman"/>
          <w:color w:val="000000"/>
          <w:sz w:val="23"/>
        </w:rPr>
        <w:t>A full-time consenting employee may be transferred from one college to another</w:t>
      </w:r>
      <w:r w:rsidR="00A17C42" w:rsidRPr="005A6D3D">
        <w:rPr>
          <w:rFonts w:eastAsia="Times New Roman"/>
          <w:color w:val="000000"/>
          <w:sz w:val="23"/>
        </w:rPr>
        <w:t xml:space="preserve"> college, from the Alabama Community College System office to a college</w:t>
      </w:r>
      <w:r w:rsidRPr="005A6D3D">
        <w:rPr>
          <w:rFonts w:eastAsia="Times New Roman"/>
          <w:color w:val="000000"/>
          <w:sz w:val="23"/>
        </w:rPr>
        <w:t>,</w:t>
      </w:r>
      <w:r w:rsidR="00A17C42" w:rsidRPr="005A6D3D">
        <w:rPr>
          <w:rFonts w:eastAsia="Times New Roman"/>
          <w:color w:val="000000"/>
          <w:sz w:val="23"/>
        </w:rPr>
        <w:t xml:space="preserve"> or from a college to the Alabama Community College System office </w:t>
      </w:r>
      <w:r w:rsidRPr="005A6D3D">
        <w:rPr>
          <w:rFonts w:eastAsia="Times New Roman"/>
          <w:color w:val="000000"/>
          <w:sz w:val="23"/>
        </w:rPr>
        <w:t xml:space="preserve">with the agreement of both the transferring and receiving Presidents or Chancellor, and with the approval of the Chancellor. </w:t>
      </w:r>
      <w:r>
        <w:rPr>
          <w:rFonts w:eastAsia="Times New Roman"/>
          <w:color w:val="000000"/>
          <w:sz w:val="23"/>
        </w:rPr>
        <w:t xml:space="preserve">  </w:t>
      </w:r>
    </w:p>
    <w:p w14:paraId="2F58F748" w14:textId="2A46B490" w:rsidR="008B14A2" w:rsidRDefault="00D40541" w:rsidP="002F68DA">
      <w:pPr>
        <w:pStyle w:val="NoSpacing"/>
        <w:rPr>
          <w:rFonts w:eastAsia="Times New Roman"/>
          <w:color w:val="000000"/>
          <w:sz w:val="23"/>
        </w:rPr>
      </w:pPr>
      <w:r>
        <w:rPr>
          <w:rFonts w:eastAsia="Times New Roman"/>
          <w:color w:val="000000"/>
          <w:sz w:val="23"/>
        </w:rPr>
        <w:tab/>
      </w:r>
    </w:p>
    <w:p w14:paraId="6FD4EF09" w14:textId="7589CE07" w:rsidR="00D40541" w:rsidRPr="002F68DA" w:rsidRDefault="008B14A2" w:rsidP="007676EE">
      <w:pPr>
        <w:pStyle w:val="NoSpacing"/>
        <w:ind w:left="547" w:hanging="547"/>
        <w:jc w:val="both"/>
        <w:rPr>
          <w:sz w:val="23"/>
          <w:szCs w:val="23"/>
        </w:rPr>
      </w:pPr>
      <w:r>
        <w:rPr>
          <w:sz w:val="23"/>
          <w:szCs w:val="23"/>
        </w:rPr>
        <w:t xml:space="preserve">3.  </w:t>
      </w:r>
      <w:r>
        <w:rPr>
          <w:sz w:val="23"/>
          <w:szCs w:val="23"/>
        </w:rPr>
        <w:tab/>
      </w:r>
      <w:r w:rsidR="00D40541" w:rsidRPr="002F68DA">
        <w:rPr>
          <w:sz w:val="23"/>
          <w:szCs w:val="23"/>
        </w:rPr>
        <w:t>A full-time Alabama Community College System office employee seeking transfer to an institution must submit a written request for transfer and receive written approval from the receiving President and Chancellor. A full-time institution employee seeking transfer to the System office must submit a written request for transfer and receive written approval from the transferring President and the Chancellor.</w:t>
      </w:r>
    </w:p>
    <w:sectPr w:rsidR="00D40541" w:rsidRPr="002F68DA">
      <w:headerReference w:type="even" r:id="rId10"/>
      <w:headerReference w:type="default" r:id="rId11"/>
      <w:footerReference w:type="even" r:id="rId12"/>
      <w:footerReference w:type="default" r:id="rId13"/>
      <w:headerReference w:type="first" r:id="rId14"/>
      <w:footerReference w:type="first" r:id="rId15"/>
      <w:pgSz w:w="12240" w:h="15840"/>
      <w:pgMar w:top="1720" w:right="1214" w:bottom="664" w:left="15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0078B" w14:textId="77777777" w:rsidR="001F3E90" w:rsidRDefault="001F3E90" w:rsidP="00B86BB8">
      <w:r>
        <w:separator/>
      </w:r>
    </w:p>
  </w:endnote>
  <w:endnote w:type="continuationSeparator" w:id="0">
    <w:p w14:paraId="7B9B7DC6" w14:textId="77777777" w:rsidR="001F3E90" w:rsidRDefault="001F3E90" w:rsidP="00B8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43F2" w14:textId="77777777" w:rsidR="00B86BB8" w:rsidRDefault="00B86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190EA" w14:textId="77777777" w:rsidR="00B86BB8" w:rsidRDefault="00B86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EDB9" w14:textId="77777777" w:rsidR="00B86BB8" w:rsidRDefault="00B86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089BE" w14:textId="77777777" w:rsidR="001F3E90" w:rsidRDefault="001F3E90" w:rsidP="00B86BB8">
      <w:r>
        <w:separator/>
      </w:r>
    </w:p>
  </w:footnote>
  <w:footnote w:type="continuationSeparator" w:id="0">
    <w:p w14:paraId="5668C44A" w14:textId="77777777" w:rsidR="001F3E90" w:rsidRDefault="001F3E90" w:rsidP="00B8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150D7" w14:textId="77777777" w:rsidR="00B86BB8" w:rsidRDefault="00B86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01F0E" w14:textId="337ED4C5" w:rsidR="00B86BB8" w:rsidRDefault="00B86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8397" w14:textId="77777777" w:rsidR="00B86BB8" w:rsidRDefault="00B86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54C1C"/>
    <w:multiLevelType w:val="multilevel"/>
    <w:tmpl w:val="07C09334"/>
    <w:lvl w:ilvl="0">
      <w:start w:val="2"/>
      <w:numFmt w:val="decimal"/>
      <w:lvlText w:val="%1."/>
      <w:lvlJc w:val="left"/>
      <w:pPr>
        <w:tabs>
          <w:tab w:val="left" w:pos="648"/>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804E0A"/>
    <w:multiLevelType w:val="multilevel"/>
    <w:tmpl w:val="31061BCC"/>
    <w:lvl w:ilvl="0">
      <w:start w:val="1"/>
      <w:numFmt w:val="decimal"/>
      <w:lvlText w:val="%1."/>
      <w:lvlJc w:val="left"/>
      <w:pPr>
        <w:tabs>
          <w:tab w:val="left" w:pos="648"/>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E2"/>
    <w:rsid w:val="00033A1F"/>
    <w:rsid w:val="0007271C"/>
    <w:rsid w:val="001D7875"/>
    <w:rsid w:val="001F3E90"/>
    <w:rsid w:val="00265B00"/>
    <w:rsid w:val="00296E5D"/>
    <w:rsid w:val="002C17AB"/>
    <w:rsid w:val="002F245C"/>
    <w:rsid w:val="002F68DA"/>
    <w:rsid w:val="002F7DE0"/>
    <w:rsid w:val="00352EF8"/>
    <w:rsid w:val="00362C6C"/>
    <w:rsid w:val="00530621"/>
    <w:rsid w:val="00546E92"/>
    <w:rsid w:val="00562DF9"/>
    <w:rsid w:val="005804D3"/>
    <w:rsid w:val="005A6D3D"/>
    <w:rsid w:val="005B7DE2"/>
    <w:rsid w:val="00622918"/>
    <w:rsid w:val="00657BF0"/>
    <w:rsid w:val="00684922"/>
    <w:rsid w:val="00760B1B"/>
    <w:rsid w:val="007676EE"/>
    <w:rsid w:val="00781ADC"/>
    <w:rsid w:val="007C455B"/>
    <w:rsid w:val="008B14A2"/>
    <w:rsid w:val="008C694B"/>
    <w:rsid w:val="00A17C42"/>
    <w:rsid w:val="00A91215"/>
    <w:rsid w:val="00AF043B"/>
    <w:rsid w:val="00B86BB8"/>
    <w:rsid w:val="00BD646D"/>
    <w:rsid w:val="00D1484D"/>
    <w:rsid w:val="00D40541"/>
    <w:rsid w:val="00DF2AC5"/>
    <w:rsid w:val="00EC17BA"/>
    <w:rsid w:val="00F0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418B7"/>
  <w15:docId w15:val="{9EA2D21D-204E-4593-9493-A122F974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C42"/>
    <w:rPr>
      <w:rFonts w:ascii="Segoe UI" w:hAnsi="Segoe UI" w:cs="Segoe UI"/>
      <w:sz w:val="18"/>
      <w:szCs w:val="18"/>
    </w:rPr>
  </w:style>
  <w:style w:type="paragraph" w:styleId="NoSpacing">
    <w:name w:val="No Spacing"/>
    <w:uiPriority w:val="1"/>
    <w:qFormat/>
    <w:rsid w:val="00D40541"/>
  </w:style>
  <w:style w:type="paragraph" w:styleId="Header">
    <w:name w:val="header"/>
    <w:basedOn w:val="Normal"/>
    <w:link w:val="HeaderChar"/>
    <w:uiPriority w:val="99"/>
    <w:unhideWhenUsed/>
    <w:rsid w:val="00B86BB8"/>
    <w:pPr>
      <w:tabs>
        <w:tab w:val="center" w:pos="4680"/>
        <w:tab w:val="right" w:pos="9360"/>
      </w:tabs>
    </w:pPr>
  </w:style>
  <w:style w:type="character" w:customStyle="1" w:styleId="HeaderChar">
    <w:name w:val="Header Char"/>
    <w:basedOn w:val="DefaultParagraphFont"/>
    <w:link w:val="Header"/>
    <w:uiPriority w:val="99"/>
    <w:rsid w:val="00B86BB8"/>
  </w:style>
  <w:style w:type="paragraph" w:styleId="Footer">
    <w:name w:val="footer"/>
    <w:basedOn w:val="Normal"/>
    <w:link w:val="FooterChar"/>
    <w:uiPriority w:val="99"/>
    <w:unhideWhenUsed/>
    <w:rsid w:val="00B86BB8"/>
    <w:pPr>
      <w:tabs>
        <w:tab w:val="center" w:pos="4680"/>
        <w:tab w:val="right" w:pos="9360"/>
      </w:tabs>
    </w:pPr>
  </w:style>
  <w:style w:type="character" w:customStyle="1" w:styleId="FooterChar">
    <w:name w:val="Footer Char"/>
    <w:basedOn w:val="DefaultParagraphFont"/>
    <w:link w:val="Footer"/>
    <w:uiPriority w:val="99"/>
    <w:rsid w:val="00B86BB8"/>
  </w:style>
  <w:style w:type="character" w:styleId="Hyperlink">
    <w:name w:val="Hyperlink"/>
    <w:basedOn w:val="DefaultParagraphFont"/>
    <w:uiPriority w:val="99"/>
    <w:unhideWhenUsed/>
    <w:rsid w:val="00296E5D"/>
    <w:rPr>
      <w:color w:val="0563C1" w:themeColor="hyperlink"/>
      <w:u w:val="single"/>
    </w:rPr>
  </w:style>
  <w:style w:type="character" w:styleId="UnresolvedMention">
    <w:name w:val="Unresolved Mention"/>
    <w:basedOn w:val="DefaultParagraphFont"/>
    <w:uiPriority w:val="99"/>
    <w:semiHidden/>
    <w:unhideWhenUsed/>
    <w:rsid w:val="0029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findlaw.com/al/title-16-education/al-code-sect-16-60-111-7.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des.findlaw.com/al/title-16-education/al-code-sect-16-60-111-4.html" TargetMode="External"/><Relationship Id="rId12" Type="http://schemas.openxmlformats.org/officeDocument/2006/relationships/footer" Target="foot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cs.edu/about-accs/board-of-trustees/policies-and-procedur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Owes</dc:creator>
  <cp:lastModifiedBy>Sarah Owes</cp:lastModifiedBy>
  <cp:revision>2</cp:revision>
  <cp:lastPrinted>2020-02-05T17:39:00Z</cp:lastPrinted>
  <dcterms:created xsi:type="dcterms:W3CDTF">2020-12-03T20:26:00Z</dcterms:created>
  <dcterms:modified xsi:type="dcterms:W3CDTF">2020-12-03T20:26:00Z</dcterms:modified>
</cp:coreProperties>
</file>